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BD5" w:rsidRDefault="00AC2BD5"/>
    <w:p w:rsidR="00AC2BD5" w:rsidRDefault="00AC2BD5"/>
    <w:p w:rsidR="00AC2BD5" w:rsidRDefault="00AC2BD5"/>
    <w:p w:rsidR="00AC2BD5" w:rsidRDefault="00AC2BD5"/>
    <w:p w:rsidR="00AC2BD5" w:rsidRDefault="00AC2BD5"/>
    <w:p w:rsidR="00AC2BD5" w:rsidRDefault="00AC2BD5"/>
    <w:p w:rsidR="00AC2BD5" w:rsidRDefault="00AC2BD5" w:rsidP="00AC2BD5">
      <w:pPr>
        <w:jc w:val="center"/>
      </w:pPr>
      <w:r>
        <w:t>Production Possibility Frontier</w:t>
      </w:r>
    </w:p>
    <w:p w:rsidR="00AC2BD5" w:rsidRDefault="00AC2BD5" w:rsidP="00AC2BD5">
      <w:pPr>
        <w:jc w:val="center"/>
      </w:pPr>
      <w:r>
        <w:t>Name of Student</w:t>
      </w:r>
    </w:p>
    <w:p w:rsidR="00AC2BD5" w:rsidRDefault="00AC2BD5" w:rsidP="00AC2BD5">
      <w:pPr>
        <w:jc w:val="center"/>
      </w:pPr>
      <w:r>
        <w:t>Name of Institution</w:t>
      </w:r>
    </w:p>
    <w:p w:rsidR="00AC2BD5" w:rsidRDefault="00AC2BD5" w:rsidP="00AC2BD5">
      <w:pPr>
        <w:jc w:val="center"/>
      </w:pPr>
      <w:r>
        <w:t>Date</w:t>
      </w:r>
      <w:r>
        <w:br w:type="page"/>
      </w:r>
    </w:p>
    <w:p w:rsidR="009245F0" w:rsidRDefault="00FC79ED">
      <w:bookmarkStart w:id="0" w:name="_GoBack"/>
      <w:r>
        <w:rPr>
          <w:noProof/>
        </w:rPr>
        <w:lastRenderedPageBreak/>
        <w:drawing>
          <wp:inline distT="0" distB="0" distL="0" distR="0">
            <wp:extent cx="5486400" cy="338137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rsidR="009915D3" w:rsidRDefault="009915D3">
      <w:r>
        <w:rPr>
          <w:noProof/>
        </w:rPr>
        <w:drawing>
          <wp:inline distT="0" distB="0" distL="0" distR="0">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15D3" w:rsidRPr="00E35A86" w:rsidRDefault="00B22465">
      <w:pPr>
        <w:rPr>
          <w:b/>
        </w:rPr>
      </w:pPr>
      <w:r w:rsidRPr="00E35A86">
        <w:rPr>
          <w:b/>
        </w:rPr>
        <w:t>What would be the production possibility frontiers for Brazil and the United States?</w:t>
      </w:r>
    </w:p>
    <w:p w:rsidR="001D0F65" w:rsidRDefault="001D0F65" w:rsidP="001D0F65">
      <w:pPr>
        <w:ind w:firstLine="720"/>
      </w:pPr>
      <w:r>
        <w:t xml:space="preserve">Both countries have a constant rate of opportunity cost, marked by a concurrent decrease in the production of cans of soda with every increase in production of units of clothing. This </w:t>
      </w:r>
      <w:r>
        <w:lastRenderedPageBreak/>
        <w:t xml:space="preserve">scenario denotes that the resources in both countries are not specialized. A likelihood of this scenario is that the factor intensity ratios </w:t>
      </w:r>
      <w:r w:rsidR="00E35A86">
        <w:t>were constant at all points in the stages of production.</w:t>
      </w:r>
    </w:p>
    <w:p w:rsidR="00B22465" w:rsidRPr="00E35A86" w:rsidRDefault="00B22465">
      <w:pPr>
        <w:rPr>
          <w:b/>
        </w:rPr>
      </w:pPr>
      <w:r w:rsidRPr="00E35A86">
        <w:rPr>
          <w:b/>
        </w:rPr>
        <w:t xml:space="preserve">Without trade, the United States produces and consumes 32,500 units of clothing and 125,000 cans of soda. Without trade Brazil produces and consumes 50,000 units of clothing and 25,000 cans of soda. Denote these points on each country’s production possibility frontier. </w:t>
      </w:r>
    </w:p>
    <w:p w:rsidR="00E35A86" w:rsidRDefault="00E35A86">
      <w:r>
        <w:rPr>
          <w:noProof/>
        </w:rPr>
        <w:drawing>
          <wp:inline distT="0" distB="0" distL="0" distR="0">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35A86" w:rsidRDefault="00E35A86">
      <w:r>
        <w:rPr>
          <w:noProof/>
        </w:rPr>
        <w:lastRenderedPageBreak/>
        <w:drawing>
          <wp:inline distT="0" distB="0" distL="0" distR="0">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22465" w:rsidRPr="002578DB" w:rsidRDefault="00B22465">
      <w:pPr>
        <w:rPr>
          <w:b/>
        </w:rPr>
      </w:pPr>
      <w:r w:rsidRPr="002578DB">
        <w:rPr>
          <w:b/>
        </w:rPr>
        <w:t>Using what you have learned and any independent research you may conduct, which product should each country specialize in and why?</w:t>
      </w:r>
    </w:p>
    <w:p w:rsidR="000A44F8" w:rsidRDefault="008538A0" w:rsidP="000A44F8">
      <w:pPr>
        <w:ind w:firstLine="720"/>
      </w:pPr>
      <w:r>
        <w:t xml:space="preserve">Since the production of the units of clothing requires more laborers to produce, clothing is the labor intensive good whereas cans of soda are capital intensive goods. </w:t>
      </w:r>
      <w:r w:rsidR="002578DB">
        <w:t xml:space="preserve">The marginal rate of transformation </w:t>
      </w:r>
      <w:r w:rsidR="000A4A2D">
        <w:t xml:space="preserve">in Brazil is half whereas that for America is 26%. </w:t>
      </w:r>
      <w:r>
        <w:t xml:space="preserve">Though America has greater quantities of both labor and capital, Brazil has a greater quantity of labor advantage over America. Similarly, America has a greater capital advantage over Brazil. Therefore, Brazil is the labor abundant country while America is the capital abundant between the two. </w:t>
      </w:r>
      <w:r w:rsidR="000A44F8">
        <w:t xml:space="preserve">These findings suggest that Brazil should specialize in production of clothing while America specializes in soda production. </w:t>
      </w:r>
      <w:r w:rsidR="002578DB">
        <w:t xml:space="preserve">The </w:t>
      </w:r>
      <w:r w:rsidR="000A44F8">
        <w:t>World</w:t>
      </w:r>
      <w:r w:rsidR="002578DB">
        <w:t xml:space="preserve"> Trade Organization published a study that show a reduction in poverty levels due to free trade in developing countries, such as Brazil. The developing countries will experience more economic growth if they are open to trade and globalization, thus reducing their </w:t>
      </w:r>
      <w:r w:rsidR="002578DB">
        <w:lastRenderedPageBreak/>
        <w:t xml:space="preserve">poverty levels. However, developing countries need to assert a stable government which helps in developing trade agreements. </w:t>
      </w:r>
    </w:p>
    <w:p w:rsidR="000A44F8" w:rsidRDefault="000A44F8">
      <w:r>
        <w:br w:type="page"/>
      </w:r>
    </w:p>
    <w:sdt>
      <w:sdtPr>
        <w:rPr>
          <w:rFonts w:ascii="Times New Roman" w:eastAsiaTheme="minorHAnsi" w:hAnsi="Times New Roman" w:cstheme="minorBidi"/>
          <w:b w:val="0"/>
          <w:bCs w:val="0"/>
          <w:color w:val="auto"/>
          <w:sz w:val="24"/>
          <w:szCs w:val="22"/>
          <w:lang w:eastAsia="en-US"/>
        </w:rPr>
        <w:id w:val="-1477676837"/>
        <w:docPartObj>
          <w:docPartGallery w:val="Bibliographies"/>
          <w:docPartUnique/>
        </w:docPartObj>
      </w:sdtPr>
      <w:sdtEndPr/>
      <w:sdtContent>
        <w:p w:rsidR="000A44F8" w:rsidRPr="000A44F8" w:rsidRDefault="000A44F8" w:rsidP="000A44F8">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AC2BD5" w:rsidRDefault="000A44F8" w:rsidP="00AC2BD5">
              <w:pPr>
                <w:pStyle w:val="Bibliography"/>
                <w:ind w:left="720" w:hanging="720"/>
                <w:rPr>
                  <w:noProof/>
                </w:rPr>
              </w:pPr>
              <w:r>
                <w:fldChar w:fldCharType="begin"/>
              </w:r>
              <w:r>
                <w:instrText xml:space="preserve"> BIBLIOGRAPHY </w:instrText>
              </w:r>
              <w:r>
                <w:fldChar w:fldCharType="separate"/>
              </w:r>
              <w:r w:rsidR="00AC2BD5">
                <w:rPr>
                  <w:noProof/>
                </w:rPr>
                <w:t xml:space="preserve">Wade, R. H. (2013). What strategies are viable for developing countries today? The World Trade Organization and the shrinking of ‘development space’. </w:t>
              </w:r>
              <w:r w:rsidR="00AC2BD5">
                <w:rPr>
                  <w:i/>
                  <w:iCs/>
                  <w:noProof/>
                </w:rPr>
                <w:t>Review of international political economy, 10</w:t>
              </w:r>
              <w:r w:rsidR="00AC2BD5">
                <w:rPr>
                  <w:noProof/>
                </w:rPr>
                <w:t>(4), 621-644.</w:t>
              </w:r>
            </w:p>
            <w:p w:rsidR="000A44F8" w:rsidRDefault="000A44F8" w:rsidP="00AC2BD5">
              <w:r>
                <w:rPr>
                  <w:b/>
                  <w:bCs/>
                  <w:noProof/>
                </w:rPr>
                <w:fldChar w:fldCharType="end"/>
              </w:r>
            </w:p>
          </w:sdtContent>
        </w:sdt>
      </w:sdtContent>
    </w:sdt>
    <w:p w:rsidR="000A44F8" w:rsidRDefault="000A44F8" w:rsidP="000A44F8">
      <w:pPr>
        <w:ind w:firstLine="720"/>
      </w:pPr>
    </w:p>
    <w:sectPr w:rsidR="000A44F8" w:rsidSect="00AC2BD5">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653" w:rsidRDefault="00DA5653" w:rsidP="00AC2BD5">
      <w:pPr>
        <w:spacing w:after="0" w:line="240" w:lineRule="auto"/>
      </w:pPr>
      <w:r>
        <w:separator/>
      </w:r>
    </w:p>
  </w:endnote>
  <w:endnote w:type="continuationSeparator" w:id="0">
    <w:p w:rsidR="00DA5653" w:rsidRDefault="00DA5653" w:rsidP="00AC2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653" w:rsidRDefault="00DA5653" w:rsidP="00AC2BD5">
      <w:pPr>
        <w:spacing w:after="0" w:line="240" w:lineRule="auto"/>
      </w:pPr>
      <w:r>
        <w:separator/>
      </w:r>
    </w:p>
  </w:footnote>
  <w:footnote w:type="continuationSeparator" w:id="0">
    <w:p w:rsidR="00DA5653" w:rsidRDefault="00DA5653" w:rsidP="00AC2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D5" w:rsidRDefault="00AC2BD5">
    <w:pPr>
      <w:pStyle w:val="Header"/>
      <w:jc w:val="right"/>
    </w:pPr>
    <w:r>
      <w:t>PRODUCTION POSSIBILITY FRONTIER</w:t>
    </w:r>
    <w:r>
      <w:tab/>
    </w:r>
    <w:r>
      <w:tab/>
    </w:r>
    <w:sdt>
      <w:sdtPr>
        <w:id w:val="-2041736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48E8">
          <w:rPr>
            <w:noProof/>
          </w:rPr>
          <w:t>6</w:t>
        </w:r>
        <w:r>
          <w:rPr>
            <w:noProof/>
          </w:rPr>
          <w:fldChar w:fldCharType="end"/>
        </w:r>
      </w:sdtContent>
    </w:sdt>
  </w:p>
  <w:p w:rsidR="00AC2BD5" w:rsidRDefault="00AC2B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D5" w:rsidRDefault="00AC2BD5">
    <w:pPr>
      <w:pStyle w:val="Header"/>
      <w:jc w:val="right"/>
    </w:pPr>
    <w:r>
      <w:t xml:space="preserve">Running Head: PRODUCTION POSSIBILITY FRONTIER </w:t>
    </w:r>
    <w:r>
      <w:tab/>
    </w:r>
    <w:sdt>
      <w:sdtPr>
        <w:id w:val="-18895606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48E8">
          <w:rPr>
            <w:noProof/>
          </w:rPr>
          <w:t>1</w:t>
        </w:r>
        <w:r>
          <w:rPr>
            <w:noProof/>
          </w:rPr>
          <w:fldChar w:fldCharType="end"/>
        </w:r>
      </w:sdtContent>
    </w:sdt>
  </w:p>
  <w:p w:rsidR="00AC2BD5" w:rsidRDefault="00AC2B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A43"/>
    <w:rsid w:val="000A44F8"/>
    <w:rsid w:val="000A4A2D"/>
    <w:rsid w:val="001D0F65"/>
    <w:rsid w:val="002578DB"/>
    <w:rsid w:val="002612B1"/>
    <w:rsid w:val="002A3A43"/>
    <w:rsid w:val="00513C96"/>
    <w:rsid w:val="006E6D27"/>
    <w:rsid w:val="008538A0"/>
    <w:rsid w:val="008648E8"/>
    <w:rsid w:val="008A201E"/>
    <w:rsid w:val="009245F0"/>
    <w:rsid w:val="009915D3"/>
    <w:rsid w:val="00AC2BD5"/>
    <w:rsid w:val="00B22465"/>
    <w:rsid w:val="00DA5653"/>
    <w:rsid w:val="00E35A86"/>
    <w:rsid w:val="00FC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6212B6-76FB-4CF5-9ADB-1B9FF22CA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44F8"/>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1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B1"/>
    <w:rPr>
      <w:rFonts w:ascii="Tahoma" w:hAnsi="Tahoma" w:cs="Tahoma"/>
      <w:sz w:val="16"/>
      <w:szCs w:val="16"/>
    </w:rPr>
  </w:style>
  <w:style w:type="character" w:customStyle="1" w:styleId="Heading1Char">
    <w:name w:val="Heading 1 Char"/>
    <w:basedOn w:val="DefaultParagraphFont"/>
    <w:link w:val="Heading1"/>
    <w:uiPriority w:val="9"/>
    <w:rsid w:val="000A44F8"/>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C2BD5"/>
  </w:style>
  <w:style w:type="paragraph" w:styleId="Header">
    <w:name w:val="header"/>
    <w:basedOn w:val="Normal"/>
    <w:link w:val="HeaderChar"/>
    <w:uiPriority w:val="99"/>
    <w:unhideWhenUsed/>
    <w:rsid w:val="00AC2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BD5"/>
  </w:style>
  <w:style w:type="paragraph" w:styleId="Footer">
    <w:name w:val="footer"/>
    <w:basedOn w:val="Normal"/>
    <w:link w:val="FooterChar"/>
    <w:uiPriority w:val="99"/>
    <w:unhideWhenUsed/>
    <w:rsid w:val="00AC2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Brazil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Sheet1!$A$2:$A$3</c:f>
              <c:numCache>
                <c:formatCode>General</c:formatCode>
                <c:ptCount val="2"/>
                <c:pt idx="0">
                  <c:v>0</c:v>
                </c:pt>
                <c:pt idx="1">
                  <c:v>50000</c:v>
                </c:pt>
              </c:numCache>
            </c:numRef>
          </c:xVal>
          <c:yVal>
            <c:numRef>
              <c:f>Sheet1!$B$2:$B$3</c:f>
              <c:numCache>
                <c:formatCode>General</c:formatCode>
                <c:ptCount val="2"/>
                <c:pt idx="0">
                  <c:v>100000</c:v>
                </c:pt>
                <c:pt idx="1">
                  <c:v>0</c:v>
                </c:pt>
              </c:numCache>
            </c:numRef>
          </c:yVal>
          <c:smooth val="1"/>
          <c:extLst>
            <c:ext xmlns:c16="http://schemas.microsoft.com/office/drawing/2014/chart" uri="{C3380CC4-5D6E-409C-BE32-E72D297353CC}">
              <c16:uniqueId val="{00000000-1338-4B0F-8555-578C9D37FACC}"/>
            </c:ext>
          </c:extLst>
        </c:ser>
        <c:dLbls>
          <c:showLegendKey val="0"/>
          <c:showVal val="0"/>
          <c:showCatName val="0"/>
          <c:showSerName val="0"/>
          <c:showPercent val="0"/>
          <c:showBubbleSize val="0"/>
        </c:dLbls>
        <c:axId val="151240064"/>
        <c:axId val="181455104"/>
      </c:scatterChart>
      <c:valAx>
        <c:axId val="151240064"/>
        <c:scaling>
          <c:orientation val="minMax"/>
        </c:scaling>
        <c:delete val="0"/>
        <c:axPos val="b"/>
        <c:title>
          <c:tx>
            <c:rich>
              <a:bodyPr/>
              <a:lstStyle/>
              <a:p>
                <a:pPr>
                  <a:defRPr/>
                </a:pPr>
                <a:r>
                  <a:rPr lang="en-US"/>
                  <a:t>Cans of Soda</a:t>
                </a:r>
              </a:p>
            </c:rich>
          </c:tx>
          <c:overlay val="0"/>
        </c:title>
        <c:numFmt formatCode="General" sourceLinked="1"/>
        <c:majorTickMark val="out"/>
        <c:minorTickMark val="none"/>
        <c:tickLblPos val="nextTo"/>
        <c:crossAx val="181455104"/>
        <c:crosses val="autoZero"/>
        <c:crossBetween val="midCat"/>
      </c:valAx>
      <c:valAx>
        <c:axId val="181455104"/>
        <c:scaling>
          <c:orientation val="minMax"/>
        </c:scaling>
        <c:delete val="0"/>
        <c:axPos val="l"/>
        <c:majorGridlines/>
        <c:title>
          <c:tx>
            <c:rich>
              <a:bodyPr rot="-5400000" vert="horz"/>
              <a:lstStyle/>
              <a:p>
                <a:pPr>
                  <a:defRPr/>
                </a:pPr>
                <a:r>
                  <a:rPr lang="en-US"/>
                  <a:t>Units of Clohing</a:t>
                </a:r>
              </a:p>
            </c:rich>
          </c:tx>
          <c:overlay val="0"/>
        </c:title>
        <c:numFmt formatCode="General" sourceLinked="1"/>
        <c:majorTickMark val="out"/>
        <c:minorTickMark val="none"/>
        <c:tickLblPos val="nextTo"/>
        <c:crossAx val="15124006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America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Sheet1!$A$2:$A$3</c:f>
              <c:numCache>
                <c:formatCode>General</c:formatCode>
                <c:ptCount val="2"/>
                <c:pt idx="0">
                  <c:v>0</c:v>
                </c:pt>
                <c:pt idx="1">
                  <c:v>250000</c:v>
                </c:pt>
              </c:numCache>
            </c:numRef>
          </c:xVal>
          <c:yVal>
            <c:numRef>
              <c:f>Sheet1!$B$2:$B$3</c:f>
              <c:numCache>
                <c:formatCode>General</c:formatCode>
                <c:ptCount val="2"/>
                <c:pt idx="0">
                  <c:v>65000</c:v>
                </c:pt>
                <c:pt idx="1">
                  <c:v>0</c:v>
                </c:pt>
              </c:numCache>
            </c:numRef>
          </c:yVal>
          <c:smooth val="1"/>
          <c:extLst>
            <c:ext xmlns:c16="http://schemas.microsoft.com/office/drawing/2014/chart" uri="{C3380CC4-5D6E-409C-BE32-E72D297353CC}">
              <c16:uniqueId val="{00000000-E4F5-470E-9AEF-B5809BBD41EB}"/>
            </c:ext>
          </c:extLst>
        </c:ser>
        <c:dLbls>
          <c:showLegendKey val="0"/>
          <c:showVal val="0"/>
          <c:showCatName val="0"/>
          <c:showSerName val="0"/>
          <c:showPercent val="0"/>
          <c:showBubbleSize val="0"/>
        </c:dLbls>
        <c:axId val="100650368"/>
        <c:axId val="100636160"/>
      </c:scatterChart>
      <c:valAx>
        <c:axId val="100650368"/>
        <c:scaling>
          <c:orientation val="minMax"/>
        </c:scaling>
        <c:delete val="0"/>
        <c:axPos val="b"/>
        <c:title>
          <c:tx>
            <c:rich>
              <a:bodyPr/>
              <a:lstStyle/>
              <a:p>
                <a:pPr>
                  <a:defRPr/>
                </a:pPr>
                <a:r>
                  <a:rPr lang="en-US"/>
                  <a:t>Cans of Soda</a:t>
                </a:r>
              </a:p>
            </c:rich>
          </c:tx>
          <c:overlay val="0"/>
        </c:title>
        <c:numFmt formatCode="General" sourceLinked="1"/>
        <c:majorTickMark val="out"/>
        <c:minorTickMark val="none"/>
        <c:tickLblPos val="nextTo"/>
        <c:crossAx val="100636160"/>
        <c:crosses val="autoZero"/>
        <c:crossBetween val="midCat"/>
      </c:valAx>
      <c:valAx>
        <c:axId val="100636160"/>
        <c:scaling>
          <c:orientation val="minMax"/>
        </c:scaling>
        <c:delete val="0"/>
        <c:axPos val="l"/>
        <c:majorGridlines/>
        <c:title>
          <c:tx>
            <c:rich>
              <a:bodyPr rot="-5400000" vert="horz"/>
              <a:lstStyle/>
              <a:p>
                <a:pPr>
                  <a:defRPr/>
                </a:pPr>
                <a:r>
                  <a:rPr lang="en-US"/>
                  <a:t>Units of Clothing</a:t>
                </a:r>
              </a:p>
            </c:rich>
          </c:tx>
          <c:overlay val="0"/>
        </c:title>
        <c:numFmt formatCode="General" sourceLinked="1"/>
        <c:majorTickMark val="out"/>
        <c:minorTickMark val="none"/>
        <c:tickLblPos val="nextTo"/>
        <c:crossAx val="100650368"/>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Brazil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c:v>
                </c:pt>
                <c:pt idx="1">
                  <c:v>25000</c:v>
                </c:pt>
                <c:pt idx="2">
                  <c:v>50000</c:v>
                </c:pt>
              </c:numCache>
            </c:numRef>
          </c:xVal>
          <c:yVal>
            <c:numRef>
              <c:f>Sheet1!$B$2:$B$4</c:f>
              <c:numCache>
                <c:formatCode>General</c:formatCode>
                <c:ptCount val="3"/>
                <c:pt idx="0">
                  <c:v>100000</c:v>
                </c:pt>
                <c:pt idx="1">
                  <c:v>50000</c:v>
                </c:pt>
                <c:pt idx="2">
                  <c:v>0</c:v>
                </c:pt>
              </c:numCache>
            </c:numRef>
          </c:yVal>
          <c:smooth val="1"/>
          <c:extLst>
            <c:ext xmlns:c16="http://schemas.microsoft.com/office/drawing/2014/chart" uri="{C3380CC4-5D6E-409C-BE32-E72D297353CC}">
              <c16:uniqueId val="{00000000-D0FC-4F19-ACAA-2F4845A17688}"/>
            </c:ext>
          </c:extLst>
        </c:ser>
        <c:dLbls>
          <c:showLegendKey val="0"/>
          <c:showVal val="0"/>
          <c:showCatName val="0"/>
          <c:showSerName val="0"/>
          <c:showPercent val="0"/>
          <c:showBubbleSize val="0"/>
        </c:dLbls>
        <c:axId val="118507008"/>
        <c:axId val="118508928"/>
      </c:scatterChart>
      <c:valAx>
        <c:axId val="118507008"/>
        <c:scaling>
          <c:orientation val="minMax"/>
        </c:scaling>
        <c:delete val="0"/>
        <c:axPos val="b"/>
        <c:title>
          <c:tx>
            <c:rich>
              <a:bodyPr/>
              <a:lstStyle/>
              <a:p>
                <a:pPr>
                  <a:defRPr/>
                </a:pPr>
                <a:r>
                  <a:rPr lang="en-US"/>
                  <a:t>Cans of Soda</a:t>
                </a:r>
              </a:p>
            </c:rich>
          </c:tx>
          <c:overlay val="0"/>
        </c:title>
        <c:numFmt formatCode="General" sourceLinked="1"/>
        <c:majorTickMark val="out"/>
        <c:minorTickMark val="none"/>
        <c:tickLblPos val="nextTo"/>
        <c:crossAx val="118508928"/>
        <c:crosses val="autoZero"/>
        <c:crossBetween val="midCat"/>
      </c:valAx>
      <c:valAx>
        <c:axId val="118508928"/>
        <c:scaling>
          <c:orientation val="minMax"/>
        </c:scaling>
        <c:delete val="0"/>
        <c:axPos val="l"/>
        <c:majorGridlines/>
        <c:title>
          <c:tx>
            <c:rich>
              <a:bodyPr rot="-5400000" vert="horz"/>
              <a:lstStyle/>
              <a:p>
                <a:pPr>
                  <a:defRPr/>
                </a:pPr>
                <a:r>
                  <a:rPr lang="en-US"/>
                  <a:t>Units of Clothing</a:t>
                </a:r>
              </a:p>
            </c:rich>
          </c:tx>
          <c:overlay val="0"/>
        </c:title>
        <c:numFmt formatCode="General" sourceLinked="1"/>
        <c:majorTickMark val="out"/>
        <c:minorTickMark val="none"/>
        <c:tickLblPos val="nextTo"/>
        <c:crossAx val="118507008"/>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America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c:v>
                </c:pt>
                <c:pt idx="1">
                  <c:v>125000</c:v>
                </c:pt>
                <c:pt idx="2">
                  <c:v>250000</c:v>
                </c:pt>
              </c:numCache>
            </c:numRef>
          </c:xVal>
          <c:yVal>
            <c:numRef>
              <c:f>Sheet1!$B$2:$B$4</c:f>
              <c:numCache>
                <c:formatCode>General</c:formatCode>
                <c:ptCount val="3"/>
                <c:pt idx="0">
                  <c:v>65000</c:v>
                </c:pt>
                <c:pt idx="1">
                  <c:v>32500</c:v>
                </c:pt>
                <c:pt idx="2">
                  <c:v>0</c:v>
                </c:pt>
              </c:numCache>
            </c:numRef>
          </c:yVal>
          <c:smooth val="1"/>
          <c:extLst>
            <c:ext xmlns:c16="http://schemas.microsoft.com/office/drawing/2014/chart" uri="{C3380CC4-5D6E-409C-BE32-E72D297353CC}">
              <c16:uniqueId val="{00000000-DC82-43A8-8947-1D25BC929BF5}"/>
            </c:ext>
          </c:extLst>
        </c:ser>
        <c:dLbls>
          <c:showLegendKey val="0"/>
          <c:showVal val="0"/>
          <c:showCatName val="0"/>
          <c:showSerName val="0"/>
          <c:showPercent val="0"/>
          <c:showBubbleSize val="0"/>
        </c:dLbls>
        <c:axId val="118545792"/>
        <c:axId val="118547968"/>
      </c:scatterChart>
      <c:valAx>
        <c:axId val="118545792"/>
        <c:scaling>
          <c:orientation val="minMax"/>
        </c:scaling>
        <c:delete val="0"/>
        <c:axPos val="b"/>
        <c:title>
          <c:tx>
            <c:rich>
              <a:bodyPr/>
              <a:lstStyle/>
              <a:p>
                <a:pPr>
                  <a:defRPr/>
                </a:pPr>
                <a:r>
                  <a:rPr lang="en-US"/>
                  <a:t>Cans of Soda</a:t>
                </a:r>
              </a:p>
            </c:rich>
          </c:tx>
          <c:overlay val="0"/>
        </c:title>
        <c:numFmt formatCode="General" sourceLinked="1"/>
        <c:majorTickMark val="out"/>
        <c:minorTickMark val="none"/>
        <c:tickLblPos val="nextTo"/>
        <c:crossAx val="118547968"/>
        <c:crosses val="autoZero"/>
        <c:crossBetween val="midCat"/>
      </c:valAx>
      <c:valAx>
        <c:axId val="118547968"/>
        <c:scaling>
          <c:orientation val="minMax"/>
        </c:scaling>
        <c:delete val="0"/>
        <c:axPos val="l"/>
        <c:majorGridlines/>
        <c:title>
          <c:tx>
            <c:rich>
              <a:bodyPr rot="-5400000" vert="horz"/>
              <a:lstStyle/>
              <a:p>
                <a:pPr>
                  <a:defRPr/>
                </a:pPr>
                <a:r>
                  <a:rPr lang="en-US"/>
                  <a:t>Units of Clothing</a:t>
                </a:r>
              </a:p>
            </c:rich>
          </c:tx>
          <c:overlay val="0"/>
        </c:title>
        <c:numFmt formatCode="General" sourceLinked="1"/>
        <c:majorTickMark val="out"/>
        <c:minorTickMark val="none"/>
        <c:tickLblPos val="nextTo"/>
        <c:crossAx val="118545792"/>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Wad13</b:Tag>
    <b:SourceType>JournalArticle</b:SourceType>
    <b:Guid>{E5426ED2-89C9-4B45-B894-4F96DEA7B01C}</b:Guid>
    <b:Title>What strategies are viable for developing countries today? The World Trade Organization and the shrinking of ‘development space’.</b:Title>
    <b:JournalName>Review of international political economy</b:JournalName>
    <b:Year>2013</b:Year>
    <b:Author>
      <b:Author>
        <b:NameList>
          <b:Person>
            <b:Last>Wade</b:Last>
            <b:Middle>Hunter</b:Middle>
            <b:First>Rybert</b:First>
          </b:Person>
        </b:NameList>
      </b:Author>
    </b:Author>
    <b:Pages>621-644</b:Pages>
    <b:Volume>10</b:Volume>
    <b:Issue>4</b:Issue>
    <b:RefOrder>1</b:RefOrder>
  </b:Source>
</b:Sources>
</file>

<file path=customXml/itemProps1.xml><?xml version="1.0" encoding="utf-8"?>
<ds:datastoreItem xmlns:ds="http://schemas.openxmlformats.org/officeDocument/2006/customXml" ds:itemID="{C54E1F3C-C626-41E7-BDC4-B66700F7D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2019-04-18T03:36:00Z</dcterms:created>
  <dcterms:modified xsi:type="dcterms:W3CDTF">2019-04-18T03:36:00Z</dcterms:modified>
</cp:coreProperties>
</file>